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25" w:rsidRDefault="008F5725" w:rsidP="008F5725">
      <w:pPr>
        <w:adjustRightInd w:val="0"/>
        <w:rPr>
          <w:rFonts w:ascii="Arial" w:hAnsi="Arial" w:cs="Arial"/>
          <w:color w:val="000000"/>
          <w:sz w:val="20"/>
          <w:szCs w:val="20"/>
        </w:rPr>
      </w:pPr>
      <w:r>
        <w:rPr>
          <w:rFonts w:ascii="Arial" w:hAnsi="Arial" w:cs="Arial"/>
          <w:b/>
          <w:bCs/>
          <w:color w:val="0000FF"/>
        </w:rPr>
        <w:t>FACILITIES &amp; OTHER RESOURCES</w:t>
      </w:r>
    </w:p>
    <w:p w:rsidR="000330FD" w:rsidRPr="00221DC1" w:rsidRDefault="008F5725" w:rsidP="003F71EC">
      <w:pPr>
        <w:jc w:val="both"/>
        <w:rPr>
          <w:rFonts w:ascii="Arial" w:hAnsi="Arial" w:cs="Arial"/>
          <w:sz w:val="22"/>
          <w:szCs w:val="22"/>
        </w:rPr>
      </w:pPr>
      <w:r w:rsidRPr="00221DC1">
        <w:rPr>
          <w:rFonts w:ascii="Arial" w:hAnsi="Arial" w:cs="Arial"/>
          <w:b/>
          <w:sz w:val="22"/>
          <w:szCs w:val="22"/>
        </w:rPr>
        <w:t>Mayo Clinic Biobank</w:t>
      </w:r>
      <w:r w:rsidRPr="00221DC1">
        <w:rPr>
          <w:rFonts w:ascii="Arial" w:hAnsi="Arial" w:cs="Arial"/>
          <w:sz w:val="22"/>
          <w:szCs w:val="22"/>
        </w:rPr>
        <w:t xml:space="preserve">. The Mayo Clinic Biobank is an institutional resource for </w:t>
      </w:r>
      <w:r w:rsidR="000330FD" w:rsidRPr="00221DC1">
        <w:rPr>
          <w:rFonts w:ascii="Arial" w:hAnsi="Arial" w:cs="Arial"/>
          <w:sz w:val="22"/>
          <w:szCs w:val="22"/>
        </w:rPr>
        <w:t xml:space="preserve">biological specimens, patient provided risk factor data and clinical data on patients recruited to the Biobank.  The Biobank was funded by a Mayo Clinic initiative for Individualized Medicine to assist investigators throughout the institution in obtaining ‘normal’ samples to serve as controls for their patient populations.  </w:t>
      </w:r>
      <w:r w:rsidRPr="00221DC1">
        <w:rPr>
          <w:rFonts w:ascii="Arial" w:hAnsi="Arial" w:cs="Arial"/>
          <w:sz w:val="22"/>
          <w:szCs w:val="22"/>
        </w:rPr>
        <w:t xml:space="preserve">The consultative aspects of the </w:t>
      </w:r>
      <w:r w:rsidR="000330FD" w:rsidRPr="00221DC1">
        <w:rPr>
          <w:rFonts w:ascii="Arial" w:hAnsi="Arial" w:cs="Arial"/>
          <w:sz w:val="22"/>
          <w:szCs w:val="22"/>
        </w:rPr>
        <w:t xml:space="preserve">resource </w:t>
      </w:r>
      <w:r w:rsidRPr="00221DC1">
        <w:rPr>
          <w:rFonts w:ascii="Arial" w:hAnsi="Arial" w:cs="Arial"/>
          <w:sz w:val="22"/>
          <w:szCs w:val="22"/>
        </w:rPr>
        <w:t xml:space="preserve">aid </w:t>
      </w:r>
      <w:r w:rsidR="000330FD" w:rsidRPr="00221DC1">
        <w:rPr>
          <w:rFonts w:ascii="Arial" w:hAnsi="Arial" w:cs="Arial"/>
          <w:sz w:val="22"/>
          <w:szCs w:val="22"/>
        </w:rPr>
        <w:t xml:space="preserve">investigators </w:t>
      </w:r>
      <w:r w:rsidRPr="00221DC1">
        <w:rPr>
          <w:rFonts w:ascii="Arial" w:hAnsi="Arial" w:cs="Arial"/>
          <w:sz w:val="22"/>
          <w:szCs w:val="22"/>
        </w:rPr>
        <w:t xml:space="preserve">in </w:t>
      </w:r>
      <w:r w:rsidR="000330FD" w:rsidRPr="00221DC1">
        <w:rPr>
          <w:rFonts w:ascii="Arial" w:hAnsi="Arial" w:cs="Arial"/>
          <w:sz w:val="22"/>
          <w:szCs w:val="22"/>
        </w:rPr>
        <w:t xml:space="preserve">determining whether these samples would serve as a methodologically sound source of controls for their studies, and </w:t>
      </w:r>
      <w:r w:rsidRPr="00221DC1">
        <w:rPr>
          <w:rFonts w:ascii="Arial" w:hAnsi="Arial" w:cs="Arial"/>
          <w:sz w:val="22"/>
          <w:szCs w:val="22"/>
        </w:rPr>
        <w:t xml:space="preserve">assisting with various logistical aspects. </w:t>
      </w:r>
      <w:r w:rsidR="000330FD" w:rsidRPr="00221DC1">
        <w:rPr>
          <w:rFonts w:ascii="Arial" w:hAnsi="Arial" w:cs="Arial"/>
          <w:sz w:val="22"/>
          <w:szCs w:val="22"/>
        </w:rPr>
        <w:t xml:space="preserve">  </w:t>
      </w:r>
    </w:p>
    <w:p w:rsidR="00CC3BED" w:rsidRPr="00221DC1" w:rsidRDefault="00CC3BED" w:rsidP="003F71EC">
      <w:pPr>
        <w:jc w:val="both"/>
        <w:rPr>
          <w:rFonts w:ascii="Arial" w:hAnsi="Arial" w:cs="Arial"/>
          <w:sz w:val="22"/>
          <w:szCs w:val="22"/>
        </w:rPr>
      </w:pPr>
    </w:p>
    <w:p w:rsidR="008F5725" w:rsidRDefault="00CC3BED" w:rsidP="003F71EC">
      <w:pPr>
        <w:jc w:val="both"/>
        <w:rPr>
          <w:rFonts w:ascii="Arial" w:hAnsi="Arial" w:cs="Arial"/>
          <w:sz w:val="22"/>
          <w:szCs w:val="22"/>
        </w:rPr>
      </w:pPr>
      <w:r w:rsidRPr="00221DC1">
        <w:rPr>
          <w:rFonts w:ascii="Arial" w:hAnsi="Arial" w:cs="Arial"/>
          <w:sz w:val="22"/>
          <w:szCs w:val="22"/>
        </w:rPr>
        <w:t xml:space="preserve">Preparations for the Biobank began in </w:t>
      </w:r>
      <w:r w:rsidR="00221DC1">
        <w:rPr>
          <w:rFonts w:ascii="Arial" w:hAnsi="Arial" w:cs="Arial"/>
          <w:sz w:val="22"/>
          <w:szCs w:val="22"/>
        </w:rPr>
        <w:t xml:space="preserve">late 2007, with two weekend-long sessions with </w:t>
      </w:r>
      <w:r w:rsidRPr="00221DC1">
        <w:rPr>
          <w:rFonts w:ascii="Arial" w:hAnsi="Arial" w:cs="Arial"/>
          <w:sz w:val="22"/>
          <w:szCs w:val="22"/>
        </w:rPr>
        <w:t xml:space="preserve">members of the local community </w:t>
      </w:r>
      <w:r w:rsidR="00221DC1" w:rsidRPr="00221DC1">
        <w:rPr>
          <w:rFonts w:ascii="Arial" w:hAnsi="Arial" w:cs="Arial"/>
          <w:sz w:val="22"/>
          <w:szCs w:val="22"/>
        </w:rPr>
        <w:t xml:space="preserve">in which we sought </w:t>
      </w:r>
      <w:r w:rsidR="00221DC1">
        <w:rPr>
          <w:rFonts w:ascii="Arial" w:hAnsi="Arial" w:cs="Arial"/>
          <w:sz w:val="22"/>
          <w:szCs w:val="22"/>
        </w:rPr>
        <w:t>policy recommendations</w:t>
      </w:r>
      <w:r w:rsidR="00221DC1" w:rsidRPr="00221DC1">
        <w:rPr>
          <w:rFonts w:ascii="Arial" w:hAnsi="Arial" w:cs="Arial"/>
          <w:sz w:val="22"/>
          <w:szCs w:val="22"/>
        </w:rPr>
        <w:t xml:space="preserve"> </w:t>
      </w:r>
      <w:r w:rsidR="00221DC1">
        <w:rPr>
          <w:rFonts w:ascii="Arial" w:hAnsi="Arial" w:cs="Arial"/>
          <w:sz w:val="22"/>
          <w:szCs w:val="22"/>
        </w:rPr>
        <w:t xml:space="preserve">from them </w:t>
      </w:r>
      <w:r w:rsidR="00221DC1" w:rsidRPr="00221DC1">
        <w:rPr>
          <w:rFonts w:ascii="Arial" w:hAnsi="Arial" w:cs="Arial"/>
          <w:sz w:val="22"/>
          <w:szCs w:val="22"/>
          <w:lang w:eastAsia="zh-CN"/>
        </w:rPr>
        <w:t xml:space="preserve">concerning </w:t>
      </w:r>
      <w:r w:rsidR="00221DC1">
        <w:rPr>
          <w:rFonts w:ascii="Arial" w:hAnsi="Arial" w:cs="Arial"/>
          <w:sz w:val="22"/>
          <w:szCs w:val="22"/>
          <w:lang w:eastAsia="zh-CN"/>
        </w:rPr>
        <w:t>collection and use</w:t>
      </w:r>
      <w:r w:rsidR="00221DC1" w:rsidRPr="00221DC1">
        <w:rPr>
          <w:rFonts w:ascii="Arial" w:hAnsi="Arial" w:cs="Arial"/>
          <w:sz w:val="22"/>
          <w:szCs w:val="22"/>
          <w:lang w:eastAsia="zh-CN"/>
        </w:rPr>
        <w:t xml:space="preserve"> of DNA samples.   </w:t>
      </w:r>
      <w:r w:rsidRPr="00221DC1">
        <w:rPr>
          <w:rFonts w:ascii="Arial" w:hAnsi="Arial" w:cs="Arial"/>
          <w:sz w:val="22"/>
          <w:szCs w:val="22"/>
        </w:rPr>
        <w:t>Community members continue to play an active role through our ongoing community advisory board</w:t>
      </w:r>
      <w:r w:rsidR="00221DC1" w:rsidRPr="00221DC1">
        <w:rPr>
          <w:rFonts w:ascii="Arial" w:hAnsi="Arial" w:cs="Arial"/>
          <w:sz w:val="22"/>
          <w:szCs w:val="22"/>
        </w:rPr>
        <w:t>.</w:t>
      </w:r>
      <w:r w:rsidR="00097A81">
        <w:rPr>
          <w:rFonts w:ascii="Arial" w:hAnsi="Arial" w:cs="Arial"/>
          <w:sz w:val="22"/>
          <w:szCs w:val="22"/>
        </w:rPr>
        <w:t xml:space="preserve">  </w:t>
      </w:r>
      <w:r>
        <w:rPr>
          <w:rFonts w:ascii="Arial" w:hAnsi="Arial" w:cs="Arial"/>
          <w:sz w:val="22"/>
          <w:szCs w:val="22"/>
        </w:rPr>
        <w:t xml:space="preserve">Recruitment </w:t>
      </w:r>
      <w:r w:rsidR="00097A81">
        <w:rPr>
          <w:rFonts w:ascii="Arial" w:hAnsi="Arial" w:cs="Arial"/>
          <w:sz w:val="22"/>
          <w:szCs w:val="22"/>
        </w:rPr>
        <w:t xml:space="preserve">is ongoing since </w:t>
      </w:r>
      <w:r>
        <w:rPr>
          <w:rFonts w:ascii="Arial" w:hAnsi="Arial" w:cs="Arial"/>
          <w:sz w:val="22"/>
          <w:szCs w:val="22"/>
        </w:rPr>
        <w:t xml:space="preserve">April </w:t>
      </w:r>
      <w:r w:rsidR="00221DC1">
        <w:rPr>
          <w:rFonts w:ascii="Arial" w:hAnsi="Arial" w:cs="Arial"/>
          <w:sz w:val="22"/>
          <w:szCs w:val="22"/>
        </w:rPr>
        <w:t xml:space="preserve">2009.  Participants come from volunteers and patients pre-scheduled for a </w:t>
      </w:r>
      <w:r w:rsidR="00221DC1" w:rsidRPr="0060594E">
        <w:rPr>
          <w:rFonts w:ascii="Arial" w:hAnsi="Arial" w:cs="Arial"/>
          <w:sz w:val="22"/>
          <w:szCs w:val="22"/>
        </w:rPr>
        <w:t>medical examination in the Department of Medicine divisions of Community Int</w:t>
      </w:r>
      <w:r w:rsidR="003E16C2">
        <w:rPr>
          <w:rFonts w:ascii="Arial" w:hAnsi="Arial" w:cs="Arial"/>
          <w:sz w:val="22"/>
          <w:szCs w:val="22"/>
        </w:rPr>
        <w:t xml:space="preserve">ernal Medicine, Family Medicine, </w:t>
      </w:r>
      <w:r w:rsidR="00221DC1" w:rsidRPr="0060594E">
        <w:rPr>
          <w:rFonts w:ascii="Arial" w:hAnsi="Arial" w:cs="Arial"/>
          <w:sz w:val="22"/>
          <w:szCs w:val="22"/>
        </w:rPr>
        <w:t>General Internal Medicine</w:t>
      </w:r>
      <w:r w:rsidR="003E16C2">
        <w:rPr>
          <w:rFonts w:ascii="Arial" w:hAnsi="Arial" w:cs="Arial"/>
          <w:sz w:val="22"/>
          <w:szCs w:val="22"/>
        </w:rPr>
        <w:t>, Obstetrics and Gynecology, or Preventive Medicine</w:t>
      </w:r>
      <w:r w:rsidR="003E16C2" w:rsidRPr="0060594E">
        <w:rPr>
          <w:rFonts w:ascii="Arial" w:hAnsi="Arial" w:cs="Arial"/>
          <w:sz w:val="22"/>
          <w:szCs w:val="22"/>
        </w:rPr>
        <w:t xml:space="preserve">.  </w:t>
      </w:r>
      <w:r w:rsidR="003E16C2">
        <w:rPr>
          <w:rFonts w:ascii="Arial" w:hAnsi="Arial" w:cs="Arial"/>
          <w:sz w:val="22"/>
          <w:szCs w:val="22"/>
        </w:rPr>
        <w:t xml:space="preserve">  </w:t>
      </w:r>
      <w:r w:rsidR="00221DC1">
        <w:rPr>
          <w:rFonts w:ascii="Arial" w:hAnsi="Arial" w:cs="Arial"/>
          <w:sz w:val="22"/>
          <w:szCs w:val="22"/>
        </w:rPr>
        <w:t>All patients are age 18 years and older.  Potential participants are invited via the U.S. mail</w:t>
      </w:r>
      <w:r w:rsidR="00097A81">
        <w:rPr>
          <w:rFonts w:ascii="Arial" w:hAnsi="Arial" w:cs="Arial"/>
          <w:sz w:val="22"/>
          <w:szCs w:val="22"/>
        </w:rPr>
        <w:t>.  Non-responders are contacted via the telephone</w:t>
      </w:r>
      <w:r w:rsidR="003E16C2">
        <w:rPr>
          <w:rFonts w:ascii="Arial" w:hAnsi="Arial" w:cs="Arial"/>
          <w:sz w:val="22"/>
          <w:szCs w:val="22"/>
        </w:rPr>
        <w:t xml:space="preserve"> if no response within two weeks of invitation</w:t>
      </w:r>
      <w:r w:rsidR="00097A81">
        <w:rPr>
          <w:rFonts w:ascii="Arial" w:hAnsi="Arial" w:cs="Arial"/>
          <w:sz w:val="22"/>
          <w:szCs w:val="22"/>
        </w:rPr>
        <w:t>. Biological samples availa</w:t>
      </w:r>
      <w:r w:rsidR="003E16C2">
        <w:rPr>
          <w:rFonts w:ascii="Arial" w:hAnsi="Arial" w:cs="Arial"/>
          <w:sz w:val="22"/>
          <w:szCs w:val="22"/>
        </w:rPr>
        <w:t xml:space="preserve">ble on each patient include DNA, </w:t>
      </w:r>
      <w:r w:rsidR="00B11442">
        <w:rPr>
          <w:rFonts w:ascii="Arial" w:hAnsi="Arial" w:cs="Arial"/>
          <w:sz w:val="22"/>
          <w:szCs w:val="22"/>
        </w:rPr>
        <w:t xml:space="preserve">serum, </w:t>
      </w:r>
      <w:r w:rsidR="003E16C2">
        <w:rPr>
          <w:rFonts w:ascii="Arial" w:hAnsi="Arial" w:cs="Arial"/>
          <w:sz w:val="22"/>
          <w:szCs w:val="22"/>
        </w:rPr>
        <w:t xml:space="preserve">plasma (including </w:t>
      </w:r>
      <w:r w:rsidR="00097A81">
        <w:rPr>
          <w:rFonts w:ascii="Arial" w:hAnsi="Arial" w:cs="Arial"/>
          <w:sz w:val="22"/>
          <w:szCs w:val="22"/>
        </w:rPr>
        <w:t>platelet-poor plasma</w:t>
      </w:r>
      <w:r w:rsidR="003E16C2">
        <w:rPr>
          <w:rFonts w:ascii="Arial" w:hAnsi="Arial" w:cs="Arial"/>
          <w:sz w:val="22"/>
          <w:szCs w:val="22"/>
        </w:rPr>
        <w:t>)</w:t>
      </w:r>
      <w:r w:rsidR="00097A81">
        <w:rPr>
          <w:rFonts w:ascii="Arial" w:hAnsi="Arial" w:cs="Arial"/>
          <w:sz w:val="22"/>
          <w:szCs w:val="22"/>
        </w:rPr>
        <w:t xml:space="preserve"> and an aliquot of frozen white blood cells.   </w:t>
      </w:r>
      <w:r w:rsidR="003E16C2">
        <w:rPr>
          <w:rFonts w:ascii="Arial" w:hAnsi="Arial" w:cs="Arial"/>
          <w:sz w:val="22"/>
          <w:szCs w:val="22"/>
        </w:rPr>
        <w:t xml:space="preserve">Data are </w:t>
      </w:r>
      <w:r w:rsidR="00097A81">
        <w:rPr>
          <w:rFonts w:ascii="Arial" w:hAnsi="Arial" w:cs="Arial"/>
          <w:sz w:val="22"/>
          <w:szCs w:val="22"/>
        </w:rPr>
        <w:t xml:space="preserve">available from the electronic medical record </w:t>
      </w:r>
      <w:r w:rsidR="003E16C2">
        <w:rPr>
          <w:rFonts w:ascii="Arial" w:hAnsi="Arial" w:cs="Arial"/>
          <w:sz w:val="22"/>
          <w:szCs w:val="22"/>
        </w:rPr>
        <w:t xml:space="preserve">(medications, diagnoses, laboratory tests, administrative billing data) </w:t>
      </w:r>
      <w:r w:rsidR="00097A81">
        <w:rPr>
          <w:rFonts w:ascii="Arial" w:hAnsi="Arial" w:cs="Arial"/>
          <w:sz w:val="22"/>
          <w:szCs w:val="22"/>
        </w:rPr>
        <w:t xml:space="preserve">and from patient-provided information on current health, family health history, and various important factors known to confer risk for disease.  </w:t>
      </w:r>
    </w:p>
    <w:p w:rsidR="008F5725" w:rsidRDefault="008F5725" w:rsidP="000F3D39">
      <w:pPr>
        <w:rPr>
          <w:rFonts w:ascii="Arial" w:hAnsi="Arial" w:cs="Arial"/>
          <w:sz w:val="22"/>
          <w:szCs w:val="22"/>
        </w:rPr>
      </w:pPr>
    </w:p>
    <w:p w:rsidR="008F5725" w:rsidRDefault="008F5725" w:rsidP="000F3D39">
      <w:pPr>
        <w:rPr>
          <w:rFonts w:ascii="Arial" w:hAnsi="Arial" w:cs="Arial"/>
          <w:b/>
          <w:i/>
          <w:sz w:val="22"/>
          <w:szCs w:val="22"/>
          <w:u w:val="single"/>
        </w:rPr>
      </w:pPr>
    </w:p>
    <w:p w:rsidR="000F3D39" w:rsidRPr="000F3D39" w:rsidRDefault="008F5725" w:rsidP="000F3D39">
      <w:pPr>
        <w:rPr>
          <w:rFonts w:ascii="Arial" w:hAnsi="Arial" w:cs="Arial"/>
          <w:b/>
          <w:i/>
          <w:sz w:val="22"/>
          <w:szCs w:val="22"/>
          <w:u w:val="single"/>
        </w:rPr>
      </w:pPr>
      <w:r>
        <w:rPr>
          <w:rFonts w:ascii="Arial" w:hAnsi="Arial" w:cs="Arial"/>
          <w:b/>
          <w:i/>
          <w:sz w:val="22"/>
          <w:szCs w:val="22"/>
          <w:u w:val="single"/>
        </w:rPr>
        <w:br w:type="page"/>
      </w:r>
      <w:r w:rsidR="000F3D39" w:rsidRPr="000F3D39">
        <w:rPr>
          <w:rFonts w:ascii="Arial" w:hAnsi="Arial" w:cs="Arial"/>
          <w:b/>
          <w:i/>
          <w:sz w:val="22"/>
          <w:szCs w:val="22"/>
          <w:u w:val="single"/>
        </w:rPr>
        <w:lastRenderedPageBreak/>
        <w:t>Biobank Recruitment Procedures</w:t>
      </w:r>
    </w:p>
    <w:p w:rsidR="00B11442" w:rsidRPr="00B47DDA" w:rsidRDefault="00B11442" w:rsidP="00B11442">
      <w:pPr>
        <w:spacing w:line="240" w:lineRule="exact"/>
        <w:jc w:val="both"/>
        <w:rPr>
          <w:rFonts w:ascii="Arial" w:hAnsi="Arial" w:cs="Arial"/>
          <w:b/>
          <w:i/>
          <w:sz w:val="22"/>
          <w:szCs w:val="22"/>
          <w:u w:val="single"/>
        </w:rPr>
      </w:pPr>
      <w:r w:rsidRPr="0060594E">
        <w:rPr>
          <w:rFonts w:ascii="Arial" w:hAnsi="Arial" w:cs="Arial"/>
          <w:sz w:val="22"/>
          <w:szCs w:val="22"/>
        </w:rPr>
        <w:t xml:space="preserve">Biobank participants </w:t>
      </w:r>
      <w:r>
        <w:rPr>
          <w:rFonts w:ascii="Arial" w:hAnsi="Arial" w:cs="Arial"/>
          <w:sz w:val="22"/>
          <w:szCs w:val="22"/>
        </w:rPr>
        <w:t xml:space="preserve">come from two sources.  A few are unsolicited volunteers who heard of the Biobank and ask to participate.  However, the majority of Biobank participants are </w:t>
      </w:r>
      <w:r w:rsidRPr="0060594E">
        <w:rPr>
          <w:rFonts w:ascii="Arial" w:hAnsi="Arial" w:cs="Arial"/>
          <w:sz w:val="22"/>
          <w:szCs w:val="22"/>
        </w:rPr>
        <w:t>randomly selected from Mayo Clinic Rochester</w:t>
      </w:r>
      <w:r w:rsidR="00E743F6">
        <w:rPr>
          <w:rFonts w:ascii="Arial" w:hAnsi="Arial" w:cs="Arial"/>
          <w:sz w:val="22"/>
          <w:szCs w:val="22"/>
        </w:rPr>
        <w:t>, Mayo Clinic Florida, and Mayo Clinic Health System in La Crosse and Onalaska, Wisconsin</w:t>
      </w:r>
      <w:bookmarkStart w:id="0" w:name="_GoBack"/>
      <w:bookmarkEnd w:id="0"/>
      <w:r w:rsidRPr="0060594E">
        <w:rPr>
          <w:rFonts w:ascii="Arial" w:hAnsi="Arial" w:cs="Arial"/>
          <w:sz w:val="22"/>
          <w:szCs w:val="22"/>
        </w:rPr>
        <w:t xml:space="preserve"> </w:t>
      </w:r>
      <w:r>
        <w:rPr>
          <w:rFonts w:ascii="Arial" w:hAnsi="Arial" w:cs="Arial"/>
          <w:sz w:val="22"/>
          <w:szCs w:val="22"/>
        </w:rPr>
        <w:t xml:space="preserve">patient appointments and invited to participate.  This latter group is selected from among </w:t>
      </w:r>
      <w:r w:rsidRPr="0060594E">
        <w:rPr>
          <w:rFonts w:ascii="Arial" w:hAnsi="Arial" w:cs="Arial"/>
          <w:sz w:val="22"/>
          <w:szCs w:val="22"/>
        </w:rPr>
        <w:t xml:space="preserve">patients aged 18 years and older who </w:t>
      </w:r>
      <w:r>
        <w:rPr>
          <w:rFonts w:ascii="Arial" w:hAnsi="Arial" w:cs="Arial"/>
          <w:sz w:val="22"/>
          <w:szCs w:val="22"/>
        </w:rPr>
        <w:t xml:space="preserve">are scheduled for a </w:t>
      </w:r>
      <w:r w:rsidRPr="0060594E">
        <w:rPr>
          <w:rFonts w:ascii="Arial" w:hAnsi="Arial" w:cs="Arial"/>
          <w:sz w:val="22"/>
          <w:szCs w:val="22"/>
        </w:rPr>
        <w:t>medical examination in the Department of Medicine divisions of Community Internal Medicine, Family Medicine</w:t>
      </w:r>
      <w:r>
        <w:rPr>
          <w:rFonts w:ascii="Arial" w:hAnsi="Arial" w:cs="Arial"/>
          <w:sz w:val="22"/>
          <w:szCs w:val="22"/>
        </w:rPr>
        <w:t>,</w:t>
      </w:r>
      <w:r w:rsidRPr="0060594E">
        <w:rPr>
          <w:rFonts w:ascii="Arial" w:hAnsi="Arial" w:cs="Arial"/>
          <w:sz w:val="22"/>
          <w:szCs w:val="22"/>
        </w:rPr>
        <w:t xml:space="preserve"> General Internal Medicine</w:t>
      </w:r>
      <w:r>
        <w:rPr>
          <w:rFonts w:ascii="Arial" w:hAnsi="Arial" w:cs="Arial"/>
          <w:sz w:val="22"/>
          <w:szCs w:val="22"/>
        </w:rPr>
        <w:t>, Obstetrics and Gynecology, or Preventive Medicine</w:t>
      </w:r>
      <w:r w:rsidRPr="0060594E">
        <w:rPr>
          <w:rFonts w:ascii="Arial" w:hAnsi="Arial" w:cs="Arial"/>
          <w:sz w:val="22"/>
          <w:szCs w:val="22"/>
        </w:rPr>
        <w:t xml:space="preserve">.  </w:t>
      </w:r>
      <w:r>
        <w:rPr>
          <w:rFonts w:ascii="Arial" w:hAnsi="Arial" w:cs="Arial"/>
          <w:sz w:val="22"/>
          <w:szCs w:val="22"/>
        </w:rPr>
        <w:t xml:space="preserve"> </w:t>
      </w:r>
      <w:r w:rsidRPr="0060594E">
        <w:rPr>
          <w:rFonts w:ascii="Arial" w:hAnsi="Arial" w:cs="Arial"/>
          <w:sz w:val="22"/>
          <w:szCs w:val="22"/>
        </w:rPr>
        <w:t xml:space="preserve">The potential participants are chosen with the use of a computer program </w:t>
      </w:r>
      <w:r>
        <w:rPr>
          <w:rFonts w:ascii="Arial" w:hAnsi="Arial" w:cs="Arial"/>
          <w:sz w:val="22"/>
          <w:szCs w:val="22"/>
        </w:rPr>
        <w:t>that</w:t>
      </w:r>
      <w:r w:rsidRPr="0060594E">
        <w:rPr>
          <w:rFonts w:ascii="Arial" w:hAnsi="Arial" w:cs="Arial"/>
          <w:sz w:val="22"/>
          <w:szCs w:val="22"/>
        </w:rPr>
        <w:t xml:space="preserve"> randomly selects subjects from potentially eligible patient appointments.  Biobank materials, including a </w:t>
      </w:r>
      <w:r>
        <w:rPr>
          <w:rFonts w:ascii="Arial" w:hAnsi="Arial" w:cs="Arial"/>
          <w:sz w:val="22"/>
          <w:szCs w:val="22"/>
        </w:rPr>
        <w:t xml:space="preserve">consent form, </w:t>
      </w:r>
      <w:r w:rsidRPr="0060594E">
        <w:rPr>
          <w:rFonts w:ascii="Arial" w:hAnsi="Arial" w:cs="Arial"/>
          <w:sz w:val="22"/>
          <w:szCs w:val="22"/>
        </w:rPr>
        <w:t>questionnaire</w:t>
      </w:r>
      <w:r>
        <w:rPr>
          <w:rFonts w:ascii="Arial" w:hAnsi="Arial" w:cs="Arial"/>
          <w:sz w:val="22"/>
          <w:szCs w:val="22"/>
        </w:rPr>
        <w:t xml:space="preserve"> and response form</w:t>
      </w:r>
      <w:r w:rsidRPr="0060594E">
        <w:rPr>
          <w:rFonts w:ascii="Arial" w:hAnsi="Arial" w:cs="Arial"/>
          <w:sz w:val="22"/>
          <w:szCs w:val="22"/>
        </w:rPr>
        <w:t xml:space="preserve">, are mailed to the home addresses of </w:t>
      </w:r>
      <w:r>
        <w:rPr>
          <w:rFonts w:ascii="Arial" w:hAnsi="Arial" w:cs="Arial"/>
          <w:sz w:val="22"/>
          <w:szCs w:val="22"/>
        </w:rPr>
        <w:t>selected</w:t>
      </w:r>
      <w:r w:rsidRPr="0060594E">
        <w:rPr>
          <w:rFonts w:ascii="Arial" w:hAnsi="Arial" w:cs="Arial"/>
          <w:sz w:val="22"/>
          <w:szCs w:val="22"/>
        </w:rPr>
        <w:t xml:space="preserve"> participants.  </w:t>
      </w:r>
    </w:p>
    <w:p w:rsidR="00B11442" w:rsidRDefault="00B11442" w:rsidP="00B11442">
      <w:pPr>
        <w:spacing w:line="240" w:lineRule="exact"/>
        <w:jc w:val="both"/>
        <w:rPr>
          <w:rFonts w:ascii="Arial" w:hAnsi="Arial" w:cs="Arial"/>
          <w:sz w:val="22"/>
          <w:szCs w:val="22"/>
        </w:rPr>
      </w:pPr>
    </w:p>
    <w:p w:rsidR="00B11442" w:rsidRDefault="00B11442" w:rsidP="00B11442">
      <w:pPr>
        <w:spacing w:line="240" w:lineRule="exact"/>
        <w:jc w:val="both"/>
        <w:rPr>
          <w:rFonts w:ascii="Arial" w:hAnsi="Arial" w:cs="Arial"/>
          <w:sz w:val="22"/>
          <w:szCs w:val="22"/>
        </w:rPr>
      </w:pPr>
      <w:r w:rsidRPr="0060594E">
        <w:rPr>
          <w:rFonts w:ascii="Arial" w:hAnsi="Arial" w:cs="Arial"/>
          <w:sz w:val="22"/>
          <w:szCs w:val="22"/>
        </w:rPr>
        <w:t xml:space="preserve">Interested persons are asked to </w:t>
      </w:r>
      <w:r>
        <w:rPr>
          <w:rFonts w:ascii="Arial" w:hAnsi="Arial" w:cs="Arial"/>
          <w:sz w:val="22"/>
          <w:szCs w:val="22"/>
        </w:rPr>
        <w:t xml:space="preserve">read and sign the consent form, complete the questionnaire and return it via US mail.  Invited persons who are not interested in participating are asked to check “refused” on the response form and return the form via US mail.  If there is no response within 2 weeks of mailing, each subject is called on the telephone and reminded to return the response form. </w:t>
      </w:r>
    </w:p>
    <w:p w:rsidR="00932D8F" w:rsidRPr="00932D8F" w:rsidRDefault="00932D8F" w:rsidP="00932D8F">
      <w:pPr>
        <w:ind w:firstLine="360"/>
        <w:rPr>
          <w:rFonts w:ascii="Arial" w:hAnsi="Arial" w:cs="Arial"/>
          <w:sz w:val="22"/>
          <w:szCs w:val="22"/>
        </w:rPr>
      </w:pPr>
    </w:p>
    <w:p w:rsidR="000F3D39" w:rsidRDefault="000F3D39" w:rsidP="000F3D39">
      <w:pPr>
        <w:rPr>
          <w:rFonts w:ascii="Arial" w:hAnsi="Arial" w:cs="Arial"/>
          <w:b/>
          <w:i/>
          <w:sz w:val="22"/>
          <w:szCs w:val="22"/>
          <w:u w:val="single"/>
        </w:rPr>
      </w:pPr>
      <w:r w:rsidRPr="000F3D39">
        <w:rPr>
          <w:rFonts w:ascii="Arial" w:hAnsi="Arial" w:cs="Arial"/>
          <w:b/>
          <w:i/>
          <w:sz w:val="22"/>
          <w:szCs w:val="22"/>
          <w:u w:val="single"/>
        </w:rPr>
        <w:t xml:space="preserve">Biobank Recruitment </w:t>
      </w:r>
      <w:r>
        <w:rPr>
          <w:rFonts w:ascii="Arial" w:hAnsi="Arial" w:cs="Arial"/>
          <w:b/>
          <w:i/>
          <w:sz w:val="22"/>
          <w:szCs w:val="22"/>
          <w:u w:val="single"/>
        </w:rPr>
        <w:t>To Date</w:t>
      </w:r>
    </w:p>
    <w:p w:rsidR="007C0C96" w:rsidRDefault="007C0C96" w:rsidP="00A74F68">
      <w:pPr>
        <w:rPr>
          <w:rFonts w:ascii="Arial" w:hAnsi="Arial" w:cs="Arial"/>
          <w:sz w:val="22"/>
          <w:szCs w:val="22"/>
        </w:rPr>
      </w:pPr>
      <w:r>
        <w:rPr>
          <w:rFonts w:ascii="Arial" w:hAnsi="Arial" w:cs="Arial"/>
          <w:sz w:val="22"/>
          <w:szCs w:val="22"/>
        </w:rPr>
        <w:t xml:space="preserve">Recruitment for the Mayo Clinic Biobank began on April 1, 2009.  </w:t>
      </w:r>
      <w:r w:rsidR="000F3D39">
        <w:rPr>
          <w:rFonts w:ascii="Arial" w:hAnsi="Arial" w:cs="Arial"/>
          <w:sz w:val="22"/>
          <w:szCs w:val="22"/>
        </w:rPr>
        <w:t xml:space="preserve">To date, </w:t>
      </w:r>
      <w:r w:rsidR="00E743F6">
        <w:rPr>
          <w:rFonts w:ascii="Arial" w:hAnsi="Arial" w:cs="Arial"/>
          <w:sz w:val="22"/>
          <w:szCs w:val="22"/>
        </w:rPr>
        <w:t>143,463</w:t>
      </w:r>
      <w:r w:rsidR="000F3D39">
        <w:rPr>
          <w:rFonts w:ascii="Arial" w:hAnsi="Arial" w:cs="Arial"/>
          <w:sz w:val="22"/>
          <w:szCs w:val="22"/>
        </w:rPr>
        <w:t xml:space="preserve"> persons have been invited to participate in the Mayo Clinic Biobank.  </w:t>
      </w:r>
      <w:r w:rsidR="00E743F6">
        <w:rPr>
          <w:rFonts w:ascii="Arial" w:hAnsi="Arial" w:cs="Arial"/>
          <w:sz w:val="22"/>
          <w:szCs w:val="22"/>
        </w:rPr>
        <w:t>35,208</w:t>
      </w:r>
      <w:r w:rsidR="00B11442">
        <w:rPr>
          <w:rFonts w:ascii="Arial" w:hAnsi="Arial" w:cs="Arial"/>
          <w:sz w:val="22"/>
          <w:szCs w:val="22"/>
        </w:rPr>
        <w:t xml:space="preserve"> (2</w:t>
      </w:r>
      <w:r w:rsidR="00E743F6">
        <w:rPr>
          <w:rFonts w:ascii="Arial" w:hAnsi="Arial" w:cs="Arial"/>
          <w:sz w:val="22"/>
          <w:szCs w:val="22"/>
        </w:rPr>
        <w:t>4.9</w:t>
      </w:r>
      <w:r w:rsidR="00B11442">
        <w:rPr>
          <w:rFonts w:ascii="Arial" w:hAnsi="Arial" w:cs="Arial"/>
          <w:sz w:val="22"/>
          <w:szCs w:val="22"/>
        </w:rPr>
        <w:t>%)</w:t>
      </w:r>
      <w:r w:rsidR="000F3D39">
        <w:rPr>
          <w:rFonts w:ascii="Arial" w:hAnsi="Arial" w:cs="Arial"/>
          <w:sz w:val="22"/>
          <w:szCs w:val="22"/>
        </w:rPr>
        <w:t xml:space="preserve"> persons have </w:t>
      </w:r>
      <w:r>
        <w:rPr>
          <w:rFonts w:ascii="Arial" w:hAnsi="Arial" w:cs="Arial"/>
          <w:sz w:val="22"/>
          <w:szCs w:val="22"/>
        </w:rPr>
        <w:t xml:space="preserve">consented </w:t>
      </w:r>
      <w:r w:rsidR="000F3D39">
        <w:rPr>
          <w:rFonts w:ascii="Arial" w:hAnsi="Arial" w:cs="Arial"/>
          <w:sz w:val="22"/>
          <w:szCs w:val="22"/>
        </w:rPr>
        <w:t>to participate</w:t>
      </w:r>
      <w:r>
        <w:rPr>
          <w:rFonts w:ascii="Arial" w:hAnsi="Arial" w:cs="Arial"/>
          <w:sz w:val="22"/>
          <w:szCs w:val="22"/>
        </w:rPr>
        <w:t xml:space="preserve">, </w:t>
      </w:r>
      <w:r w:rsidR="00E743F6">
        <w:rPr>
          <w:rFonts w:ascii="Arial" w:hAnsi="Arial" w:cs="Arial"/>
          <w:sz w:val="22"/>
          <w:szCs w:val="22"/>
        </w:rPr>
        <w:t>32,285 (22.5%)</w:t>
      </w:r>
      <w:r>
        <w:rPr>
          <w:rFonts w:ascii="Arial" w:hAnsi="Arial" w:cs="Arial"/>
          <w:sz w:val="22"/>
          <w:szCs w:val="22"/>
        </w:rPr>
        <w:t xml:space="preserve"> have consented to participate and have provided a blood sample and completed the questionnaire.   Table X below provides information on the latter group by age and gender</w:t>
      </w:r>
      <w:r w:rsidR="00B11442">
        <w:rPr>
          <w:rFonts w:ascii="Arial" w:hAnsi="Arial" w:cs="Arial"/>
          <w:sz w:val="22"/>
          <w:szCs w:val="22"/>
        </w:rPr>
        <w:t xml:space="preserve"> as of </w:t>
      </w:r>
      <w:r w:rsidR="00E743F6">
        <w:rPr>
          <w:rFonts w:ascii="Arial" w:hAnsi="Arial" w:cs="Arial"/>
          <w:sz w:val="22"/>
          <w:szCs w:val="22"/>
        </w:rPr>
        <w:t>11</w:t>
      </w:r>
      <w:r w:rsidR="00B11442">
        <w:rPr>
          <w:rFonts w:ascii="Arial" w:hAnsi="Arial" w:cs="Arial"/>
          <w:sz w:val="22"/>
          <w:szCs w:val="22"/>
        </w:rPr>
        <w:t>/1</w:t>
      </w:r>
      <w:r w:rsidR="00E743F6">
        <w:rPr>
          <w:rFonts w:ascii="Arial" w:hAnsi="Arial" w:cs="Arial"/>
          <w:sz w:val="22"/>
          <w:szCs w:val="22"/>
        </w:rPr>
        <w:t>1</w:t>
      </w:r>
      <w:r w:rsidR="00B11442">
        <w:rPr>
          <w:rFonts w:ascii="Arial" w:hAnsi="Arial" w:cs="Arial"/>
          <w:sz w:val="22"/>
          <w:szCs w:val="22"/>
        </w:rPr>
        <w:t>/201</w:t>
      </w:r>
      <w:r w:rsidR="00E743F6">
        <w:rPr>
          <w:rFonts w:ascii="Arial" w:hAnsi="Arial" w:cs="Arial"/>
          <w:sz w:val="22"/>
          <w:szCs w:val="22"/>
        </w:rPr>
        <w:t>3</w:t>
      </w:r>
      <w:r>
        <w:rPr>
          <w:rFonts w:ascii="Arial" w:hAnsi="Arial" w:cs="Arial"/>
          <w:sz w:val="22"/>
          <w:szCs w:val="22"/>
        </w:rPr>
        <w:t>.</w:t>
      </w:r>
    </w:p>
    <w:p w:rsidR="007C0C96" w:rsidRDefault="007C0C96" w:rsidP="000F3D39">
      <w:pPr>
        <w:ind w:firstLine="360"/>
        <w:rPr>
          <w:rFonts w:ascii="Arial" w:hAnsi="Arial" w:cs="Arial"/>
          <w:sz w:val="22"/>
          <w:szCs w:val="22"/>
        </w:rPr>
      </w:pPr>
    </w:p>
    <w:p w:rsidR="007C0C96" w:rsidRDefault="00E743F6" w:rsidP="000F3D39">
      <w:pPr>
        <w:ind w:firstLine="360"/>
        <w:rPr>
          <w:rFonts w:ascii="Arial" w:hAnsi="Arial" w:cs="Arial"/>
          <w:sz w:val="22"/>
          <w:szCs w:val="22"/>
        </w:rPr>
      </w:pPr>
      <w:r>
        <w:rPr>
          <w:noProof/>
        </w:rPr>
        <w:lastRenderedPageBreak/>
        <w:drawing>
          <wp:inline distT="0" distB="0" distL="0" distR="0">
            <wp:extent cx="5486400" cy="4239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bank_weekly_progressreport_11NOV13_Page_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4239260"/>
                    </a:xfrm>
                    <a:prstGeom prst="rect">
                      <a:avLst/>
                    </a:prstGeom>
                  </pic:spPr>
                </pic:pic>
              </a:graphicData>
            </a:graphic>
          </wp:inline>
        </w:drawing>
      </w:r>
      <w:r>
        <w:rPr>
          <w:noProof/>
        </w:rPr>
        <w:lastRenderedPageBreak/>
        <w:drawing>
          <wp:inline distT="0" distB="0" distL="0" distR="0">
            <wp:extent cx="5486400" cy="4239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bank_weekly_progressreport_11NOV13_Page_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4239260"/>
                    </a:xfrm>
                    <a:prstGeom prst="rect">
                      <a:avLst/>
                    </a:prstGeom>
                  </pic:spPr>
                </pic:pic>
              </a:graphicData>
            </a:graphic>
          </wp:inline>
        </w:drawing>
      </w:r>
      <w:r>
        <w:rPr>
          <w:noProof/>
        </w:rPr>
        <w:lastRenderedPageBreak/>
        <w:drawing>
          <wp:inline distT="0" distB="0" distL="0" distR="0">
            <wp:extent cx="5486400" cy="42392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bank_weekly_progressreport_11NOV13_Page_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4239260"/>
                    </a:xfrm>
                    <a:prstGeom prst="rect">
                      <a:avLst/>
                    </a:prstGeom>
                  </pic:spPr>
                </pic:pic>
              </a:graphicData>
            </a:graphic>
          </wp:inline>
        </w:drawing>
      </w:r>
    </w:p>
    <w:p w:rsidR="007C0C96" w:rsidRDefault="007C0C96" w:rsidP="000F3D39">
      <w:pPr>
        <w:ind w:firstLine="360"/>
        <w:rPr>
          <w:rFonts w:ascii="Arial" w:hAnsi="Arial" w:cs="Arial"/>
          <w:sz w:val="22"/>
          <w:szCs w:val="22"/>
        </w:rPr>
      </w:pPr>
      <w:r>
        <w:rPr>
          <w:rFonts w:ascii="Arial" w:hAnsi="Arial" w:cs="Arial"/>
          <w:sz w:val="22"/>
          <w:szCs w:val="22"/>
        </w:rPr>
        <w:t xml:space="preserve"> </w:t>
      </w:r>
    </w:p>
    <w:p w:rsidR="008F5725" w:rsidRPr="00932D8F" w:rsidRDefault="008F5725" w:rsidP="008F5725">
      <w:pPr>
        <w:rPr>
          <w:rFonts w:ascii="Arial" w:hAnsi="Arial" w:cs="Arial"/>
          <w:b/>
          <w:sz w:val="22"/>
          <w:szCs w:val="22"/>
          <w:u w:val="single"/>
        </w:rPr>
      </w:pPr>
      <w:r>
        <w:rPr>
          <w:rFonts w:ascii="Arial" w:hAnsi="Arial" w:cs="Arial"/>
          <w:b/>
          <w:i/>
          <w:sz w:val="22"/>
          <w:szCs w:val="22"/>
          <w:u w:val="single"/>
        </w:rPr>
        <w:br w:type="page"/>
      </w:r>
      <w:r w:rsidRPr="00932D8F">
        <w:rPr>
          <w:rFonts w:ascii="Arial" w:hAnsi="Arial" w:cs="Arial"/>
          <w:b/>
          <w:sz w:val="22"/>
          <w:szCs w:val="22"/>
          <w:u w:val="single"/>
        </w:rPr>
        <w:lastRenderedPageBreak/>
        <w:t>Types of Specimens collected</w:t>
      </w:r>
    </w:p>
    <w:p w:rsidR="008F5725" w:rsidRDefault="008F5725" w:rsidP="008F5725">
      <w:pPr>
        <w:ind w:firstLine="360"/>
        <w:rPr>
          <w:rFonts w:ascii="Arial" w:hAnsi="Arial" w:cs="Arial"/>
          <w:sz w:val="22"/>
          <w:szCs w:val="22"/>
        </w:rPr>
      </w:pPr>
      <w:r>
        <w:rPr>
          <w:rFonts w:ascii="Arial" w:hAnsi="Arial" w:cs="Arial"/>
          <w:sz w:val="22"/>
          <w:szCs w:val="22"/>
        </w:rPr>
        <w:t>At this point in time, the following specimens are collected on each patient:</w:t>
      </w:r>
    </w:p>
    <w:p w:rsidR="008F5725" w:rsidRPr="00932D8F" w:rsidRDefault="008F5725" w:rsidP="008F5725">
      <w:pPr>
        <w:ind w:left="720" w:hanging="360"/>
        <w:rPr>
          <w:rFonts w:ascii="Arial" w:hAnsi="Arial" w:cs="Arial"/>
          <w:sz w:val="22"/>
          <w:szCs w:val="22"/>
        </w:rPr>
      </w:pPr>
      <w:r w:rsidRPr="00932D8F">
        <w:rPr>
          <w:rFonts w:ascii="Arial" w:hAnsi="Arial" w:cs="Arial"/>
          <w:sz w:val="22"/>
          <w:szCs w:val="22"/>
        </w:rPr>
        <w:t>•</w:t>
      </w:r>
      <w:r w:rsidRPr="00932D8F">
        <w:rPr>
          <w:rFonts w:ascii="Arial" w:hAnsi="Arial" w:cs="Arial"/>
          <w:sz w:val="22"/>
          <w:szCs w:val="22"/>
        </w:rPr>
        <w:tab/>
      </w:r>
      <w:r w:rsidR="00B11442">
        <w:rPr>
          <w:rFonts w:ascii="Arial" w:hAnsi="Arial" w:cs="Arial"/>
          <w:sz w:val="22"/>
          <w:szCs w:val="22"/>
        </w:rPr>
        <w:t>3*</w:t>
      </w:r>
      <w:r w:rsidRPr="00932D8F">
        <w:rPr>
          <w:rFonts w:ascii="Arial" w:hAnsi="Arial" w:cs="Arial"/>
          <w:sz w:val="22"/>
          <w:szCs w:val="22"/>
        </w:rPr>
        <w:t xml:space="preserve"> each of 10 ml EDTA tub</w:t>
      </w:r>
      <w:r>
        <w:rPr>
          <w:rFonts w:ascii="Arial" w:hAnsi="Arial" w:cs="Arial"/>
          <w:sz w:val="22"/>
          <w:szCs w:val="22"/>
        </w:rPr>
        <w:t xml:space="preserve">es (for DNA, buffy coat, plasma.  Note that </w:t>
      </w:r>
      <w:r w:rsidRPr="00932D8F">
        <w:rPr>
          <w:rFonts w:ascii="Arial" w:hAnsi="Arial" w:cs="Arial"/>
          <w:sz w:val="22"/>
          <w:szCs w:val="22"/>
        </w:rPr>
        <w:t xml:space="preserve">some </w:t>
      </w:r>
      <w:r>
        <w:rPr>
          <w:rFonts w:ascii="Arial" w:hAnsi="Arial" w:cs="Arial"/>
          <w:sz w:val="22"/>
          <w:szCs w:val="22"/>
        </w:rPr>
        <w:t xml:space="preserve">plasma samples are </w:t>
      </w:r>
      <w:r w:rsidRPr="00932D8F">
        <w:rPr>
          <w:rFonts w:ascii="Arial" w:hAnsi="Arial" w:cs="Arial"/>
          <w:sz w:val="22"/>
          <w:szCs w:val="22"/>
        </w:rPr>
        <w:t>spun twice to obtain platelet-</w:t>
      </w:r>
      <w:r w:rsidR="00B11442">
        <w:rPr>
          <w:rFonts w:ascii="Arial" w:hAnsi="Arial" w:cs="Arial"/>
          <w:sz w:val="22"/>
          <w:szCs w:val="22"/>
        </w:rPr>
        <w:t>poor</w:t>
      </w:r>
      <w:r w:rsidRPr="00932D8F">
        <w:rPr>
          <w:rFonts w:ascii="Arial" w:hAnsi="Arial" w:cs="Arial"/>
          <w:sz w:val="22"/>
          <w:szCs w:val="22"/>
        </w:rPr>
        <w:t xml:space="preserve"> plasma</w:t>
      </w:r>
    </w:p>
    <w:p w:rsidR="008F5725" w:rsidRPr="00932D8F" w:rsidRDefault="008F5725" w:rsidP="008F5725">
      <w:pPr>
        <w:ind w:firstLine="360"/>
        <w:rPr>
          <w:rFonts w:ascii="Arial" w:hAnsi="Arial" w:cs="Arial"/>
          <w:sz w:val="22"/>
          <w:szCs w:val="22"/>
        </w:rPr>
      </w:pPr>
      <w:r w:rsidRPr="00932D8F">
        <w:rPr>
          <w:rFonts w:ascii="Arial" w:hAnsi="Arial" w:cs="Arial"/>
          <w:sz w:val="22"/>
          <w:szCs w:val="22"/>
        </w:rPr>
        <w:t>•</w:t>
      </w:r>
      <w:r w:rsidRPr="00932D8F">
        <w:rPr>
          <w:rFonts w:ascii="Arial" w:hAnsi="Arial" w:cs="Arial"/>
          <w:sz w:val="22"/>
          <w:szCs w:val="22"/>
        </w:rPr>
        <w:tab/>
        <w:t>1 each of 10 ml no additive (For Serum)</w:t>
      </w:r>
    </w:p>
    <w:p w:rsidR="008F5725" w:rsidRDefault="008F5725" w:rsidP="008F5725">
      <w:pPr>
        <w:ind w:firstLine="360"/>
        <w:rPr>
          <w:rFonts w:ascii="Arial" w:hAnsi="Arial" w:cs="Arial"/>
          <w:sz w:val="22"/>
          <w:szCs w:val="22"/>
        </w:rPr>
      </w:pPr>
      <w:r w:rsidRPr="00932D8F">
        <w:rPr>
          <w:rFonts w:ascii="Arial" w:hAnsi="Arial" w:cs="Arial"/>
          <w:sz w:val="22"/>
          <w:szCs w:val="22"/>
        </w:rPr>
        <w:t>•</w:t>
      </w:r>
      <w:r w:rsidRPr="00932D8F">
        <w:rPr>
          <w:rFonts w:ascii="Arial" w:hAnsi="Arial" w:cs="Arial"/>
          <w:sz w:val="22"/>
          <w:szCs w:val="22"/>
        </w:rPr>
        <w:tab/>
        <w:t>1 each of 4.5 ml Sodium Citrate (for plasma)</w:t>
      </w:r>
    </w:p>
    <w:p w:rsidR="00B11442" w:rsidRDefault="00B11442" w:rsidP="008F5725">
      <w:pPr>
        <w:ind w:firstLine="360"/>
        <w:rPr>
          <w:rFonts w:ascii="Arial" w:hAnsi="Arial" w:cs="Arial"/>
          <w:sz w:val="22"/>
          <w:szCs w:val="22"/>
        </w:rPr>
      </w:pPr>
      <w:r>
        <w:rPr>
          <w:rFonts w:ascii="Arial" w:hAnsi="Arial" w:cs="Arial"/>
          <w:sz w:val="22"/>
          <w:szCs w:val="22"/>
        </w:rPr>
        <w:t>*Note: on approximately 10% of patients, 1 -10 ml sodium heparin tube replaces one of the EDTA tubes.  This Na Hep tube is collected, processed and slow-frozen so that the cells remain viable for future EBV transformation.</w:t>
      </w:r>
    </w:p>
    <w:p w:rsidR="008F5725" w:rsidRDefault="008F5725" w:rsidP="008F5725">
      <w:pPr>
        <w:ind w:firstLine="360"/>
        <w:rPr>
          <w:rFonts w:ascii="Arial" w:hAnsi="Arial" w:cs="Arial"/>
          <w:sz w:val="22"/>
          <w:szCs w:val="22"/>
        </w:rPr>
      </w:pPr>
    </w:p>
    <w:p w:rsidR="008F5725" w:rsidRDefault="008F5725" w:rsidP="008F5725">
      <w:pPr>
        <w:ind w:firstLine="360"/>
        <w:rPr>
          <w:rFonts w:ascii="Arial" w:hAnsi="Arial" w:cs="Arial"/>
          <w:sz w:val="22"/>
          <w:szCs w:val="22"/>
        </w:rPr>
      </w:pPr>
      <w:r>
        <w:rPr>
          <w:rFonts w:ascii="Arial" w:hAnsi="Arial" w:cs="Arial"/>
          <w:sz w:val="22"/>
          <w:szCs w:val="22"/>
        </w:rPr>
        <w:t>This yields the following specimens typically available on each patient:</w:t>
      </w:r>
    </w:p>
    <w:p w:rsidR="008F5725" w:rsidRDefault="008F5725" w:rsidP="008F5725">
      <w:pPr>
        <w:numPr>
          <w:ilvl w:val="0"/>
          <w:numId w:val="1"/>
        </w:numPr>
        <w:rPr>
          <w:rFonts w:ascii="Arial" w:hAnsi="Arial" w:cs="Arial"/>
          <w:sz w:val="22"/>
          <w:szCs w:val="22"/>
        </w:rPr>
      </w:pPr>
      <w:r>
        <w:rPr>
          <w:rFonts w:ascii="Arial" w:hAnsi="Arial" w:cs="Arial"/>
          <w:sz w:val="22"/>
          <w:szCs w:val="22"/>
        </w:rPr>
        <w:t xml:space="preserve">860 μg of DNA (median) </w:t>
      </w:r>
    </w:p>
    <w:p w:rsidR="008F5725" w:rsidRDefault="003E16C2" w:rsidP="008F5725">
      <w:pPr>
        <w:numPr>
          <w:ilvl w:val="0"/>
          <w:numId w:val="1"/>
        </w:numPr>
        <w:rPr>
          <w:rFonts w:ascii="Arial" w:hAnsi="Arial" w:cs="Arial"/>
          <w:sz w:val="22"/>
          <w:szCs w:val="22"/>
        </w:rPr>
      </w:pPr>
      <w:r>
        <w:rPr>
          <w:rFonts w:ascii="Arial" w:hAnsi="Arial" w:cs="Arial"/>
          <w:sz w:val="22"/>
          <w:szCs w:val="22"/>
        </w:rPr>
        <w:t>3</w:t>
      </w:r>
      <w:r w:rsidR="008F5725">
        <w:rPr>
          <w:rFonts w:ascii="Arial" w:hAnsi="Arial" w:cs="Arial"/>
          <w:sz w:val="22"/>
          <w:szCs w:val="22"/>
        </w:rPr>
        <w:t xml:space="preserve"> aliquot</w:t>
      </w:r>
      <w:r>
        <w:rPr>
          <w:rFonts w:ascii="Arial" w:hAnsi="Arial" w:cs="Arial"/>
          <w:sz w:val="22"/>
          <w:szCs w:val="22"/>
        </w:rPr>
        <w:t>s</w:t>
      </w:r>
      <w:r w:rsidR="008F5725">
        <w:rPr>
          <w:rFonts w:ascii="Arial" w:hAnsi="Arial" w:cs="Arial"/>
          <w:sz w:val="22"/>
          <w:szCs w:val="22"/>
        </w:rPr>
        <w:t xml:space="preserve"> of white blood cells (buffy coat)</w:t>
      </w:r>
    </w:p>
    <w:p w:rsidR="003E16C2" w:rsidRDefault="003E16C2" w:rsidP="008F5725">
      <w:pPr>
        <w:numPr>
          <w:ilvl w:val="0"/>
          <w:numId w:val="1"/>
        </w:numPr>
        <w:rPr>
          <w:rFonts w:ascii="Arial" w:hAnsi="Arial" w:cs="Arial"/>
          <w:sz w:val="22"/>
          <w:szCs w:val="22"/>
        </w:rPr>
      </w:pPr>
      <w:r>
        <w:rPr>
          <w:rFonts w:ascii="Arial" w:hAnsi="Arial" w:cs="Arial"/>
          <w:sz w:val="22"/>
          <w:szCs w:val="22"/>
        </w:rPr>
        <w:t>4.5 mL EDTA plasma</w:t>
      </w:r>
    </w:p>
    <w:p w:rsidR="003E16C2" w:rsidRDefault="003E16C2" w:rsidP="008F5725">
      <w:pPr>
        <w:numPr>
          <w:ilvl w:val="0"/>
          <w:numId w:val="1"/>
        </w:numPr>
        <w:rPr>
          <w:rFonts w:ascii="Arial" w:hAnsi="Arial" w:cs="Arial"/>
          <w:sz w:val="22"/>
          <w:szCs w:val="22"/>
        </w:rPr>
      </w:pPr>
      <w:r>
        <w:rPr>
          <w:rFonts w:ascii="Arial" w:hAnsi="Arial" w:cs="Arial"/>
          <w:sz w:val="22"/>
          <w:szCs w:val="22"/>
        </w:rPr>
        <w:t>4.5 mL platelet poor plasma</w:t>
      </w:r>
    </w:p>
    <w:p w:rsidR="003E16C2" w:rsidRDefault="003E16C2" w:rsidP="008F5725">
      <w:pPr>
        <w:numPr>
          <w:ilvl w:val="0"/>
          <w:numId w:val="1"/>
        </w:numPr>
        <w:rPr>
          <w:rFonts w:ascii="Arial" w:hAnsi="Arial" w:cs="Arial"/>
          <w:sz w:val="22"/>
          <w:szCs w:val="22"/>
        </w:rPr>
      </w:pPr>
      <w:r>
        <w:rPr>
          <w:rFonts w:ascii="Arial" w:hAnsi="Arial" w:cs="Arial"/>
          <w:sz w:val="22"/>
          <w:szCs w:val="22"/>
        </w:rPr>
        <w:t>3.5 mL serum</w:t>
      </w:r>
    </w:p>
    <w:p w:rsidR="003E16C2" w:rsidRDefault="003E16C2" w:rsidP="008F5725">
      <w:pPr>
        <w:numPr>
          <w:ilvl w:val="0"/>
          <w:numId w:val="1"/>
        </w:numPr>
        <w:rPr>
          <w:rFonts w:ascii="Arial" w:hAnsi="Arial" w:cs="Arial"/>
          <w:sz w:val="22"/>
          <w:szCs w:val="22"/>
        </w:rPr>
      </w:pPr>
      <w:r>
        <w:rPr>
          <w:rFonts w:ascii="Arial" w:hAnsi="Arial" w:cs="Arial"/>
          <w:sz w:val="22"/>
          <w:szCs w:val="22"/>
        </w:rPr>
        <w:t>2.0 mL Na Citrate plasma</w:t>
      </w:r>
    </w:p>
    <w:p w:rsidR="008F5725" w:rsidRDefault="008F5725" w:rsidP="007C0C96">
      <w:pPr>
        <w:rPr>
          <w:rFonts w:ascii="Arial" w:hAnsi="Arial" w:cs="Arial"/>
          <w:b/>
          <w:i/>
          <w:sz w:val="22"/>
          <w:szCs w:val="22"/>
          <w:u w:val="single"/>
        </w:rPr>
      </w:pPr>
    </w:p>
    <w:p w:rsidR="008F5725" w:rsidRDefault="008F5725" w:rsidP="007C0C96">
      <w:pPr>
        <w:rPr>
          <w:rFonts w:ascii="Arial" w:hAnsi="Arial" w:cs="Arial"/>
          <w:b/>
          <w:i/>
          <w:sz w:val="22"/>
          <w:szCs w:val="22"/>
          <w:u w:val="single"/>
        </w:rPr>
      </w:pPr>
    </w:p>
    <w:p w:rsidR="007C0C96" w:rsidRDefault="007C0C96" w:rsidP="007C0C96">
      <w:pPr>
        <w:rPr>
          <w:rFonts w:ascii="Arial" w:hAnsi="Arial" w:cs="Arial"/>
          <w:b/>
          <w:i/>
          <w:sz w:val="22"/>
          <w:szCs w:val="22"/>
          <w:u w:val="single"/>
        </w:rPr>
      </w:pPr>
      <w:r>
        <w:rPr>
          <w:rFonts w:ascii="Arial" w:hAnsi="Arial" w:cs="Arial"/>
          <w:b/>
          <w:i/>
          <w:sz w:val="22"/>
          <w:szCs w:val="22"/>
          <w:u w:val="single"/>
        </w:rPr>
        <w:t xml:space="preserve">Use of Biobank Subjects as controls for “this” study </w:t>
      </w:r>
    </w:p>
    <w:p w:rsidR="0098305B" w:rsidRDefault="0098305B" w:rsidP="0098305B">
      <w:pPr>
        <w:ind w:firstLine="360"/>
        <w:rPr>
          <w:rFonts w:ascii="Arial" w:hAnsi="Arial" w:cs="Arial"/>
          <w:sz w:val="22"/>
          <w:szCs w:val="22"/>
        </w:rPr>
      </w:pPr>
      <w:r w:rsidRPr="005C3E1B">
        <w:rPr>
          <w:rFonts w:ascii="Arial" w:hAnsi="Arial" w:cs="Arial"/>
          <w:sz w:val="22"/>
          <w:szCs w:val="22"/>
        </w:rPr>
        <w:t xml:space="preserve">Controls </w:t>
      </w:r>
      <w:r w:rsidR="007C0C96">
        <w:rPr>
          <w:rFonts w:ascii="Arial" w:hAnsi="Arial" w:cs="Arial"/>
          <w:sz w:val="22"/>
          <w:szCs w:val="22"/>
        </w:rPr>
        <w:t xml:space="preserve">for this </w:t>
      </w:r>
      <w:r w:rsidRPr="005C3E1B">
        <w:rPr>
          <w:rFonts w:ascii="Arial" w:hAnsi="Arial" w:cs="Arial"/>
          <w:sz w:val="22"/>
          <w:szCs w:val="22"/>
        </w:rPr>
        <w:t xml:space="preserve">will be </w:t>
      </w:r>
      <w:r>
        <w:rPr>
          <w:rFonts w:ascii="Arial" w:hAnsi="Arial" w:cs="Arial"/>
          <w:sz w:val="22"/>
          <w:szCs w:val="22"/>
        </w:rPr>
        <w:t xml:space="preserve">selected from the pool of </w:t>
      </w:r>
      <w:r w:rsidR="007C0C96">
        <w:rPr>
          <w:rFonts w:ascii="Arial" w:hAnsi="Arial" w:cs="Arial"/>
          <w:sz w:val="22"/>
          <w:szCs w:val="22"/>
        </w:rPr>
        <w:t>B</w:t>
      </w:r>
      <w:r>
        <w:rPr>
          <w:rFonts w:ascii="Arial" w:hAnsi="Arial" w:cs="Arial"/>
          <w:sz w:val="22"/>
          <w:szCs w:val="22"/>
        </w:rPr>
        <w:t xml:space="preserve">iobank participants so that they are </w:t>
      </w:r>
      <w:r w:rsidRPr="005C3E1B">
        <w:rPr>
          <w:rFonts w:ascii="Arial" w:hAnsi="Arial" w:cs="Arial"/>
          <w:sz w:val="22"/>
          <w:szCs w:val="22"/>
        </w:rPr>
        <w:t xml:space="preserve">frequency matched to the case distribution on 5-year age group, </w:t>
      </w:r>
      <w:r w:rsidRPr="0098305B">
        <w:rPr>
          <w:rFonts w:ascii="Arial" w:hAnsi="Arial" w:cs="Arial"/>
          <w:sz w:val="22"/>
          <w:szCs w:val="22"/>
        </w:rPr>
        <w:t>sex and</w:t>
      </w:r>
      <w:r w:rsidRPr="005C3E1B">
        <w:rPr>
          <w:rFonts w:ascii="Arial" w:hAnsi="Arial" w:cs="Arial"/>
          <w:sz w:val="22"/>
          <w:szCs w:val="22"/>
        </w:rPr>
        <w:t xml:space="preserve"> area of residence</w:t>
      </w:r>
      <w:r>
        <w:rPr>
          <w:rFonts w:ascii="Arial" w:hAnsi="Arial" w:cs="Arial"/>
          <w:sz w:val="22"/>
          <w:szCs w:val="22"/>
        </w:rPr>
        <w:t xml:space="preserve">. </w:t>
      </w:r>
    </w:p>
    <w:p w:rsidR="0098305B" w:rsidRDefault="0098305B" w:rsidP="0098305B">
      <w:pPr>
        <w:ind w:firstLine="360"/>
        <w:rPr>
          <w:rFonts w:ascii="Arial" w:hAnsi="Arial" w:cs="Arial"/>
          <w:sz w:val="22"/>
          <w:szCs w:val="22"/>
        </w:rPr>
      </w:pPr>
    </w:p>
    <w:p w:rsidR="0098305B" w:rsidRPr="0098305B" w:rsidRDefault="0098305B" w:rsidP="0098305B">
      <w:pPr>
        <w:ind w:firstLine="360"/>
        <w:rPr>
          <w:rFonts w:ascii="Arial" w:hAnsi="Arial" w:cs="Arial"/>
          <w:i/>
          <w:sz w:val="22"/>
          <w:szCs w:val="22"/>
        </w:rPr>
      </w:pPr>
      <w:r>
        <w:rPr>
          <w:rFonts w:ascii="Arial" w:hAnsi="Arial" w:cs="Arial"/>
          <w:i/>
          <w:sz w:val="22"/>
          <w:szCs w:val="22"/>
        </w:rPr>
        <w:t xml:space="preserve">If </w:t>
      </w:r>
      <w:r w:rsidR="007C0C96">
        <w:rPr>
          <w:rFonts w:ascii="Arial" w:hAnsi="Arial" w:cs="Arial"/>
          <w:i/>
          <w:sz w:val="22"/>
          <w:szCs w:val="22"/>
        </w:rPr>
        <w:t>you want to match on geography:</w:t>
      </w:r>
    </w:p>
    <w:p w:rsidR="0098305B" w:rsidRDefault="0098305B" w:rsidP="0098305B">
      <w:pPr>
        <w:ind w:firstLine="360"/>
        <w:rPr>
          <w:rFonts w:ascii="Arial" w:hAnsi="Arial" w:cs="Arial"/>
          <w:sz w:val="22"/>
          <w:szCs w:val="22"/>
        </w:rPr>
      </w:pPr>
      <w:r>
        <w:rPr>
          <w:rFonts w:ascii="Arial" w:hAnsi="Arial" w:cs="Arial"/>
          <w:sz w:val="22"/>
          <w:szCs w:val="22"/>
        </w:rPr>
        <w:t xml:space="preserve"> Geographical region categories will consist of </w:t>
      </w:r>
      <w:smartTag w:uri="urn:schemas-microsoft-com:office:smarttags" w:element="PlaceName">
        <w:r>
          <w:rPr>
            <w:rFonts w:ascii="Arial" w:hAnsi="Arial" w:cs="Arial"/>
            <w:sz w:val="22"/>
            <w:szCs w:val="22"/>
          </w:rPr>
          <w:t>Olmsted</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r>
        <w:rPr>
          <w:rFonts w:ascii="Arial" w:hAnsi="Arial" w:cs="Arial"/>
          <w:sz w:val="22"/>
          <w:szCs w:val="22"/>
        </w:rPr>
        <w:t xml:space="preserve"> (the county in which Mayo Clinic is located), the counties surrounding Olmsted in southeastern </w:t>
      </w:r>
      <w:smartTag w:uri="urn:schemas-microsoft-com:office:smarttags" w:element="State">
        <w:r>
          <w:rPr>
            <w:rFonts w:ascii="Arial" w:hAnsi="Arial" w:cs="Arial"/>
            <w:sz w:val="22"/>
            <w:szCs w:val="22"/>
          </w:rPr>
          <w:t>Minnesota</w:t>
        </w:r>
      </w:smartTag>
      <w:r>
        <w:rPr>
          <w:rFonts w:ascii="Arial" w:hAnsi="Arial" w:cs="Arial"/>
          <w:sz w:val="22"/>
          <w:szCs w:val="22"/>
        </w:rPr>
        <w:t xml:space="preserve">, the remainder of </w:t>
      </w:r>
      <w:smartTag w:uri="urn:schemas-microsoft-com:office:smarttags" w:element="State">
        <w:r>
          <w:rPr>
            <w:rFonts w:ascii="Arial" w:hAnsi="Arial" w:cs="Arial"/>
            <w:sz w:val="22"/>
            <w:szCs w:val="22"/>
          </w:rPr>
          <w:t>Minnesota</w:t>
        </w:r>
      </w:smartTag>
      <w:r>
        <w:rPr>
          <w:rFonts w:ascii="Arial" w:hAnsi="Arial" w:cs="Arial"/>
          <w:sz w:val="22"/>
          <w:szCs w:val="22"/>
        </w:rPr>
        <w:t xml:space="preserve">, </w:t>
      </w:r>
      <w:smartTag w:uri="urn:schemas-microsoft-com:office:smarttags" w:element="State">
        <w:r>
          <w:rPr>
            <w:rFonts w:ascii="Arial" w:hAnsi="Arial" w:cs="Arial"/>
            <w:sz w:val="22"/>
            <w:szCs w:val="22"/>
          </w:rPr>
          <w:t>Wisconsin</w:t>
        </w:r>
      </w:smartTag>
      <w:r>
        <w:rPr>
          <w:rFonts w:ascii="Arial" w:hAnsi="Arial" w:cs="Arial"/>
          <w:sz w:val="22"/>
          <w:szCs w:val="22"/>
        </w:rPr>
        <w:t xml:space="preserve">, and </w:t>
      </w:r>
      <w:smartTag w:uri="urn:schemas-microsoft-com:office:smarttags" w:element="State">
        <w:smartTag w:uri="urn:schemas-microsoft-com:office:smarttags" w:element="place">
          <w:r>
            <w:rPr>
              <w:rFonts w:ascii="Arial" w:hAnsi="Arial" w:cs="Arial"/>
              <w:sz w:val="22"/>
              <w:szCs w:val="22"/>
            </w:rPr>
            <w:t>Iowa</w:t>
          </w:r>
        </w:smartTag>
      </w:smartTag>
      <w:r>
        <w:rPr>
          <w:rFonts w:ascii="Arial" w:hAnsi="Arial" w:cs="Arial"/>
          <w:sz w:val="22"/>
          <w:szCs w:val="22"/>
        </w:rPr>
        <w:t>.</w:t>
      </w:r>
    </w:p>
    <w:p w:rsidR="0098305B" w:rsidRPr="00E7347E" w:rsidRDefault="0098305B" w:rsidP="0098305B">
      <w:pPr>
        <w:ind w:firstLine="360"/>
        <w:rPr>
          <w:rFonts w:ascii="Arial" w:hAnsi="Arial" w:cs="Arial"/>
          <w:sz w:val="22"/>
          <w:szCs w:val="22"/>
        </w:rPr>
      </w:pPr>
      <w:r>
        <w:rPr>
          <w:rFonts w:ascii="Arial" w:hAnsi="Arial" w:cs="Arial"/>
          <w:sz w:val="22"/>
          <w:szCs w:val="22"/>
        </w:rPr>
        <w:t xml:space="preserve">  </w:t>
      </w:r>
    </w:p>
    <w:p w:rsidR="0098305B" w:rsidRPr="0098305B" w:rsidRDefault="0098305B" w:rsidP="0098305B">
      <w:pPr>
        <w:ind w:firstLine="360"/>
        <w:rPr>
          <w:rFonts w:ascii="Arial" w:hAnsi="Arial" w:cs="Arial"/>
          <w:i/>
          <w:sz w:val="22"/>
          <w:szCs w:val="22"/>
        </w:rPr>
      </w:pPr>
      <w:r>
        <w:rPr>
          <w:rFonts w:ascii="Arial" w:hAnsi="Arial" w:cs="Arial"/>
          <w:i/>
          <w:sz w:val="22"/>
          <w:szCs w:val="22"/>
        </w:rPr>
        <w:t>Justification of Matching Technique</w:t>
      </w:r>
    </w:p>
    <w:p w:rsidR="0098305B" w:rsidRDefault="0098305B" w:rsidP="0098305B">
      <w:pPr>
        <w:ind w:firstLine="360"/>
        <w:rPr>
          <w:rFonts w:ascii="Arial" w:hAnsi="Arial" w:cs="Arial"/>
          <w:sz w:val="22"/>
          <w:szCs w:val="22"/>
        </w:rPr>
      </w:pPr>
      <w:r w:rsidRPr="005C3E1B">
        <w:rPr>
          <w:rFonts w:ascii="Arial" w:hAnsi="Arial" w:cs="Arial"/>
          <w:sz w:val="22"/>
          <w:szCs w:val="22"/>
        </w:rPr>
        <w:t xml:space="preserve">We elected to use frequency matching over </w:t>
      </w:r>
      <w:r w:rsidRPr="00942DB5">
        <w:rPr>
          <w:rFonts w:ascii="Arial" w:hAnsi="Arial" w:cs="Arial"/>
          <w:sz w:val="22"/>
          <w:szCs w:val="22"/>
        </w:rPr>
        <w:t xml:space="preserve">individual </w:t>
      </w:r>
      <w:r w:rsidRPr="005C3E1B">
        <w:rPr>
          <w:rFonts w:ascii="Arial" w:hAnsi="Arial" w:cs="Arial"/>
          <w:sz w:val="22"/>
          <w:szCs w:val="22"/>
        </w:rPr>
        <w:t xml:space="preserve">(exact) matching due to the inflexibility of the latter design for recruitment (added complexity and cost in control identification), </w:t>
      </w:r>
      <w:r>
        <w:rPr>
          <w:rFonts w:ascii="Arial" w:hAnsi="Arial" w:cs="Arial"/>
          <w:sz w:val="22"/>
          <w:szCs w:val="22"/>
        </w:rPr>
        <w:t xml:space="preserve">and </w:t>
      </w:r>
      <w:r w:rsidRPr="005C3E1B">
        <w:rPr>
          <w:rFonts w:ascii="Arial" w:hAnsi="Arial" w:cs="Arial"/>
          <w:sz w:val="22"/>
          <w:szCs w:val="22"/>
        </w:rPr>
        <w:t>potential loss of power due to unmatched cases</w:t>
      </w:r>
      <w:r>
        <w:rPr>
          <w:rFonts w:ascii="Arial" w:hAnsi="Arial" w:cs="Arial"/>
          <w:sz w:val="22"/>
          <w:szCs w:val="22"/>
        </w:rPr>
        <w:t xml:space="preserve"> </w:t>
      </w:r>
      <w:r w:rsidRPr="005C3E1B">
        <w:rPr>
          <w:rFonts w:ascii="Arial" w:hAnsi="Arial" w:cs="Arial"/>
          <w:sz w:val="22"/>
          <w:szCs w:val="22"/>
        </w:rPr>
        <w:t>(</w:t>
      </w:r>
      <w:r w:rsidRPr="005C3E1B">
        <w:rPr>
          <w:rFonts w:ascii="Arial" w:hAnsi="Arial" w:cs="Arial"/>
          <w:sz w:val="22"/>
          <w:szCs w:val="22"/>
          <w:highlight w:val="yellow"/>
        </w:rPr>
        <w:t>Wacholder 1992c</w:t>
      </w:r>
      <w:r w:rsidRPr="005C3E1B">
        <w:rPr>
          <w:rFonts w:ascii="Arial" w:hAnsi="Arial" w:cs="Arial"/>
          <w:sz w:val="22"/>
          <w:szCs w:val="22"/>
        </w:rPr>
        <w:t>)</w:t>
      </w:r>
      <w:r>
        <w:rPr>
          <w:rFonts w:ascii="Arial" w:hAnsi="Arial" w:cs="Arial"/>
          <w:sz w:val="22"/>
          <w:szCs w:val="22"/>
        </w:rPr>
        <w:t>.</w:t>
      </w:r>
      <w:r w:rsidRPr="00CF5F04">
        <w:rPr>
          <w:rFonts w:ascii="Arial" w:hAnsi="Arial" w:cs="Arial"/>
          <w:sz w:val="22"/>
          <w:szCs w:val="22"/>
        </w:rPr>
        <w:t xml:space="preserve"> </w:t>
      </w:r>
    </w:p>
    <w:p w:rsidR="0098305B" w:rsidRDefault="0098305B" w:rsidP="0098305B">
      <w:pPr>
        <w:ind w:firstLine="360"/>
        <w:rPr>
          <w:rFonts w:ascii="Arial" w:hAnsi="Arial" w:cs="Arial"/>
          <w:sz w:val="22"/>
          <w:szCs w:val="22"/>
        </w:rPr>
      </w:pPr>
      <w:r>
        <w:rPr>
          <w:rFonts w:ascii="Arial" w:hAnsi="Arial" w:cs="Arial"/>
          <w:sz w:val="22"/>
          <w:szCs w:val="22"/>
        </w:rPr>
        <w:t xml:space="preserve">All exclusion criteria applied to cases (as described in section….) will be similarly applied to this control group. This control selection and recruitment strategy has been used successfully in several peer-reviewed NIH funded studies, including </w:t>
      </w:r>
      <w:r w:rsidRPr="00E7347E">
        <w:rPr>
          <w:rFonts w:ascii="Arial" w:hAnsi="Arial" w:cs="Arial"/>
          <w:sz w:val="22"/>
          <w:szCs w:val="22"/>
        </w:rPr>
        <w:t>R01 CA86888</w:t>
      </w:r>
      <w:r>
        <w:rPr>
          <w:rFonts w:ascii="Arial" w:hAnsi="Arial" w:cs="Arial"/>
          <w:sz w:val="22"/>
          <w:szCs w:val="22"/>
        </w:rPr>
        <w:t xml:space="preserve"> (Hartmann), R01 CA</w:t>
      </w:r>
      <w:r w:rsidRPr="00E7347E">
        <w:rPr>
          <w:rFonts w:ascii="Arial" w:hAnsi="Arial" w:cs="Arial"/>
          <w:sz w:val="22"/>
          <w:szCs w:val="22"/>
        </w:rPr>
        <w:t>92153</w:t>
      </w:r>
      <w:r>
        <w:rPr>
          <w:rFonts w:ascii="Arial" w:hAnsi="Arial" w:cs="Arial"/>
          <w:sz w:val="22"/>
          <w:szCs w:val="22"/>
        </w:rPr>
        <w:t xml:space="preserve"> (Cerhan), and P20 CA</w:t>
      </w:r>
      <w:r w:rsidRPr="00E7347E">
        <w:rPr>
          <w:rFonts w:ascii="Arial" w:hAnsi="Arial" w:cs="Arial"/>
          <w:sz w:val="22"/>
          <w:szCs w:val="22"/>
        </w:rPr>
        <w:t>102701</w:t>
      </w:r>
      <w:r>
        <w:rPr>
          <w:rFonts w:ascii="Arial" w:hAnsi="Arial" w:cs="Arial"/>
          <w:sz w:val="22"/>
          <w:szCs w:val="22"/>
        </w:rPr>
        <w:t xml:space="preserve"> (Petersen).</w:t>
      </w:r>
    </w:p>
    <w:sectPr w:rsidR="0098305B" w:rsidSect="00420428">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45" w:rsidRDefault="00F57445">
      <w:r>
        <w:separator/>
      </w:r>
    </w:p>
  </w:endnote>
  <w:endnote w:type="continuationSeparator" w:id="0">
    <w:p w:rsidR="00F57445" w:rsidRDefault="00F5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F6" w:rsidRPr="006C785D" w:rsidRDefault="00B11442">
    <w:pPr>
      <w:pStyle w:val="Footer"/>
      <w:rPr>
        <w:sz w:val="20"/>
        <w:szCs w:val="20"/>
      </w:rPr>
    </w:pPr>
    <w:r w:rsidRPr="006C785D">
      <w:rPr>
        <w:sz w:val="20"/>
        <w:szCs w:val="20"/>
      </w:rPr>
      <w:tab/>
    </w:r>
    <w:r w:rsidRPr="006C785D">
      <w:rPr>
        <w:sz w:val="20"/>
        <w:szCs w:val="20"/>
      </w:rPr>
      <w:tab/>
    </w:r>
    <w:r w:rsidR="00E743F6">
      <w:rPr>
        <w:sz w:val="20"/>
        <w:szCs w:val="20"/>
      </w:rPr>
      <w:t>November 11,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45" w:rsidRDefault="00F57445">
      <w:r>
        <w:separator/>
      </w:r>
    </w:p>
  </w:footnote>
  <w:footnote w:type="continuationSeparator" w:id="0">
    <w:p w:rsidR="00F57445" w:rsidRDefault="00F57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E0B92"/>
    <w:multiLevelType w:val="hybridMultilevel"/>
    <w:tmpl w:val="21BC8D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5B"/>
    <w:rsid w:val="00010316"/>
    <w:rsid w:val="000330FD"/>
    <w:rsid w:val="00097A81"/>
    <w:rsid w:val="000F3D39"/>
    <w:rsid w:val="00221DC1"/>
    <w:rsid w:val="00361AD4"/>
    <w:rsid w:val="003E16C2"/>
    <w:rsid w:val="003F71EC"/>
    <w:rsid w:val="00420428"/>
    <w:rsid w:val="00534E96"/>
    <w:rsid w:val="0060594E"/>
    <w:rsid w:val="00642DB3"/>
    <w:rsid w:val="006C785D"/>
    <w:rsid w:val="00732A6F"/>
    <w:rsid w:val="007C0C96"/>
    <w:rsid w:val="007C6B64"/>
    <w:rsid w:val="00835969"/>
    <w:rsid w:val="008F5725"/>
    <w:rsid w:val="00932D8F"/>
    <w:rsid w:val="0098305B"/>
    <w:rsid w:val="00A74F68"/>
    <w:rsid w:val="00B11442"/>
    <w:rsid w:val="00CC3BED"/>
    <w:rsid w:val="00D25129"/>
    <w:rsid w:val="00DB0EFC"/>
    <w:rsid w:val="00E743F6"/>
    <w:rsid w:val="00F41F8E"/>
    <w:rsid w:val="00F5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05B"/>
    <w:pPr>
      <w:autoSpaceDE w:val="0"/>
      <w:autoSpaceDN w:val="0"/>
    </w:pPr>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8305B"/>
    <w:rPr>
      <w:sz w:val="16"/>
      <w:szCs w:val="16"/>
    </w:rPr>
  </w:style>
  <w:style w:type="paragraph" w:styleId="CommentText">
    <w:name w:val="annotation text"/>
    <w:basedOn w:val="Normal"/>
    <w:semiHidden/>
    <w:rsid w:val="0098305B"/>
    <w:rPr>
      <w:sz w:val="20"/>
      <w:szCs w:val="20"/>
    </w:rPr>
  </w:style>
  <w:style w:type="paragraph" w:styleId="BalloonText">
    <w:name w:val="Balloon Text"/>
    <w:basedOn w:val="Normal"/>
    <w:semiHidden/>
    <w:rsid w:val="0098305B"/>
    <w:rPr>
      <w:rFonts w:ascii="Tahoma" w:hAnsi="Tahoma" w:cs="Tahoma"/>
      <w:sz w:val="16"/>
      <w:szCs w:val="16"/>
    </w:rPr>
  </w:style>
  <w:style w:type="paragraph" w:styleId="Header">
    <w:name w:val="header"/>
    <w:basedOn w:val="Normal"/>
    <w:rsid w:val="006C785D"/>
    <w:pPr>
      <w:tabs>
        <w:tab w:val="center" w:pos="4320"/>
        <w:tab w:val="right" w:pos="8640"/>
      </w:tabs>
    </w:pPr>
  </w:style>
  <w:style w:type="paragraph" w:styleId="Footer">
    <w:name w:val="footer"/>
    <w:basedOn w:val="Normal"/>
    <w:rsid w:val="006C785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05B"/>
    <w:pPr>
      <w:autoSpaceDE w:val="0"/>
      <w:autoSpaceDN w:val="0"/>
    </w:pPr>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8305B"/>
    <w:rPr>
      <w:sz w:val="16"/>
      <w:szCs w:val="16"/>
    </w:rPr>
  </w:style>
  <w:style w:type="paragraph" w:styleId="CommentText">
    <w:name w:val="annotation text"/>
    <w:basedOn w:val="Normal"/>
    <w:semiHidden/>
    <w:rsid w:val="0098305B"/>
    <w:rPr>
      <w:sz w:val="20"/>
      <w:szCs w:val="20"/>
    </w:rPr>
  </w:style>
  <w:style w:type="paragraph" w:styleId="BalloonText">
    <w:name w:val="Balloon Text"/>
    <w:basedOn w:val="Normal"/>
    <w:semiHidden/>
    <w:rsid w:val="0098305B"/>
    <w:rPr>
      <w:rFonts w:ascii="Tahoma" w:hAnsi="Tahoma" w:cs="Tahoma"/>
      <w:sz w:val="16"/>
      <w:szCs w:val="16"/>
    </w:rPr>
  </w:style>
  <w:style w:type="paragraph" w:styleId="Header">
    <w:name w:val="header"/>
    <w:basedOn w:val="Normal"/>
    <w:rsid w:val="006C785D"/>
    <w:pPr>
      <w:tabs>
        <w:tab w:val="center" w:pos="4320"/>
        <w:tab w:val="right" w:pos="8640"/>
      </w:tabs>
    </w:pPr>
  </w:style>
  <w:style w:type="paragraph" w:styleId="Footer">
    <w:name w:val="footer"/>
    <w:basedOn w:val="Normal"/>
    <w:rsid w:val="006C785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Biobank participants will be randomly selected from Mayo Clinic Rochester patients aged 18 years and older who were being seen for a pre-scheduled medical examination in the general medicine divisions of the Department of Medicine using a computer</vt:lpstr>
    </vt:vector>
  </TitlesOfParts>
  <Company>Mayo Foundation</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Biobank participants will be randomly selected from Mayo Clinic Rochester patients aged 18 years and older who were being seen for a pre-scheduled medical examination in the general medicine divisions of the Department of Medicine using a computer</dc:title>
  <dc:creator>Mayo</dc:creator>
  <cp:lastModifiedBy>Erin M Winkler</cp:lastModifiedBy>
  <cp:revision>3</cp:revision>
  <dcterms:created xsi:type="dcterms:W3CDTF">2013-11-14T17:55:00Z</dcterms:created>
  <dcterms:modified xsi:type="dcterms:W3CDTF">2013-11-14T18:05:00Z</dcterms:modified>
</cp:coreProperties>
</file>